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9003EE">
        <w:rPr>
          <w:sz w:val="26"/>
          <w:szCs w:val="26"/>
        </w:rPr>
        <w:t>463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CE62EB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CE62EB">
        <w:rPr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9003EE">
        <w:rPr>
          <w:szCs w:val="26"/>
        </w:rPr>
        <w:t>25.02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CE62EB">
        <w:rPr>
          <w:sz w:val="26"/>
          <w:szCs w:val="26"/>
        </w:rPr>
        <w:t xml:space="preserve">*** </w:t>
      </w:r>
      <w:r w:rsidR="00B54230">
        <w:rPr>
          <w:sz w:val="26"/>
          <w:szCs w:val="26"/>
        </w:rPr>
        <w:t>прекращен</w:t>
      </w:r>
      <w:r>
        <w:rPr>
          <w:sz w:val="26"/>
          <w:szCs w:val="26"/>
        </w:rPr>
        <w:t xml:space="preserve"> </w:t>
      </w:r>
      <w:r w:rsidR="009003EE">
        <w:rPr>
          <w:sz w:val="26"/>
          <w:szCs w:val="26"/>
        </w:rPr>
        <w:t>21.02</w:t>
      </w:r>
      <w:r>
        <w:rPr>
          <w:sz w:val="26"/>
          <w:szCs w:val="26"/>
        </w:rPr>
        <w:t xml:space="preserve">.2026, данные по форме ЕФС-1 представлены </w:t>
      </w:r>
      <w:r w:rsidR="00D31E8C">
        <w:rPr>
          <w:sz w:val="26"/>
          <w:szCs w:val="26"/>
        </w:rPr>
        <w:t>25.02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CE62EB">
        <w:rPr>
          <w:szCs w:val="26"/>
        </w:rPr>
        <w:t xml:space="preserve">*** 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9003EE">
        <w:rPr>
          <w:bCs/>
          <w:color w:val="000000" w:themeColor="text1"/>
          <w:sz w:val="26"/>
          <w:szCs w:val="26"/>
        </w:rPr>
        <w:t>580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9003EE"/>
    <w:rsid w:val="00B54230"/>
    <w:rsid w:val="00C502D5"/>
    <w:rsid w:val="00C71FEE"/>
    <w:rsid w:val="00CE62EB"/>
    <w:rsid w:val="00D31E8C"/>
    <w:rsid w:val="00D93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